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CE82B" w14:textId="77777777" w:rsidR="00562698" w:rsidRPr="007A078C" w:rsidRDefault="0056269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078C">
        <w:rPr>
          <w:rFonts w:ascii="Times New Roman" w:hAnsi="Times New Roman" w:cs="Times New Roman"/>
          <w:b/>
          <w:bCs/>
          <w:sz w:val="28"/>
          <w:szCs w:val="28"/>
        </w:rPr>
        <w:t xml:space="preserve">Temporary Visa Workers should get </w:t>
      </w:r>
      <w:r w:rsidR="00B973E8" w:rsidRPr="007A078C">
        <w:rPr>
          <w:rFonts w:ascii="Times New Roman" w:hAnsi="Times New Roman" w:cs="Times New Roman"/>
          <w:b/>
          <w:bCs/>
          <w:sz w:val="28"/>
          <w:szCs w:val="28"/>
        </w:rPr>
        <w:t>lost entitlements protection</w:t>
      </w:r>
    </w:p>
    <w:p w14:paraId="4B437603" w14:textId="77777777" w:rsidR="00B973E8" w:rsidRDefault="00B973E8"/>
    <w:p w14:paraId="76133A5C" w14:textId="77777777" w:rsidR="00693EA9" w:rsidRDefault="00B973E8">
      <w:r>
        <w:t xml:space="preserve">The exclusion of temporary visa workers </w:t>
      </w:r>
      <w:r w:rsidR="00127D2E">
        <w:t xml:space="preserve">from reimbursement </w:t>
      </w:r>
      <w:r w:rsidR="00037ACF">
        <w:t xml:space="preserve">under the Fair Entitlements Guarantee </w:t>
      </w:r>
      <w:r w:rsidR="00B41445">
        <w:t>(FEG)</w:t>
      </w:r>
      <w:r w:rsidR="00022F96">
        <w:t xml:space="preserve"> </w:t>
      </w:r>
      <w:r w:rsidR="005F7F1C">
        <w:t xml:space="preserve">Scheme </w:t>
      </w:r>
      <w:r w:rsidR="00127D2E">
        <w:t xml:space="preserve">for </w:t>
      </w:r>
      <w:r w:rsidR="003201A0">
        <w:t xml:space="preserve">lost </w:t>
      </w:r>
      <w:r w:rsidR="00127D2E">
        <w:t>wage</w:t>
      </w:r>
      <w:r w:rsidR="003201A0">
        <w:t>s</w:t>
      </w:r>
      <w:r w:rsidR="00127D2E">
        <w:t xml:space="preserve"> and</w:t>
      </w:r>
      <w:r w:rsidR="003201A0">
        <w:t xml:space="preserve"> entitlements (annual leave</w:t>
      </w:r>
      <w:r w:rsidR="00B406C4">
        <w:t xml:space="preserve"> etc)</w:t>
      </w:r>
      <w:r w:rsidR="00037ACF">
        <w:t xml:space="preserve"> owed to them</w:t>
      </w:r>
      <w:r w:rsidR="00B406C4">
        <w:t xml:space="preserve"> when their emp</w:t>
      </w:r>
      <w:r w:rsidR="00037ACF">
        <w:t>loyer collapses</w:t>
      </w:r>
      <w:r w:rsidR="005F7F1C">
        <w:t xml:space="preserve"> is not just unfair. It is inconsistent with the approach in other important </w:t>
      </w:r>
      <w:r w:rsidR="007D714D">
        <w:t>government guarantee schemes, such as the Financial Claims Scheme</w:t>
      </w:r>
      <w:r w:rsidR="00B41445">
        <w:t xml:space="preserve"> (FCS)</w:t>
      </w:r>
      <w:r w:rsidR="004B3D6B">
        <w:t>, where non-residents are eligible.</w:t>
      </w:r>
      <w:r w:rsidR="00693EA9">
        <w:t xml:space="preserve"> </w:t>
      </w:r>
    </w:p>
    <w:p w14:paraId="5AB2E37E" w14:textId="77777777" w:rsidR="002B32B7" w:rsidRDefault="002B32B7"/>
    <w:p w14:paraId="1BCE2D38" w14:textId="527D6B55" w:rsidR="00B973E8" w:rsidRDefault="002B32B7">
      <w:r>
        <w:t>It is also inconsistent with the principle</w:t>
      </w:r>
      <w:r w:rsidR="0063318D">
        <w:t xml:space="preserve"> </w:t>
      </w:r>
      <w:r w:rsidR="00084B0F">
        <w:t xml:space="preserve">of non-discrimination </w:t>
      </w:r>
      <w:r w:rsidR="0063318D">
        <w:t xml:space="preserve">stated on the </w:t>
      </w:r>
      <w:r w:rsidR="001023C5">
        <w:t>f</w:t>
      </w:r>
      <w:r w:rsidR="0063318D">
        <w:t>air</w:t>
      </w:r>
      <w:r w:rsidR="001023C5">
        <w:t>w</w:t>
      </w:r>
      <w:r w:rsidR="0063318D">
        <w:t>ork</w:t>
      </w:r>
      <w:r w:rsidR="001023C5">
        <w:t>.gov.au websit</w:t>
      </w:r>
      <w:r w:rsidR="001D2C26">
        <w:t>e</w:t>
      </w:r>
      <w:r w:rsidR="001023C5">
        <w:t xml:space="preserve"> that </w:t>
      </w:r>
      <w:r w:rsidR="00F2093D">
        <w:t>“a</w:t>
      </w:r>
      <w:r w:rsidR="00F2093D" w:rsidRPr="00693EA9">
        <w:t>ll people working in Australia, including foreign workers, are entitled to basic rights and protections in the workplace</w:t>
      </w:r>
      <w:r w:rsidR="00F2093D">
        <w:t>”</w:t>
      </w:r>
      <w:r w:rsidR="00693EA9" w:rsidRPr="00693EA9">
        <w:t>.</w:t>
      </w:r>
    </w:p>
    <w:p w14:paraId="4FA98C05" w14:textId="77777777" w:rsidR="004B3D6B" w:rsidRDefault="004B3D6B"/>
    <w:p w14:paraId="366D6B04" w14:textId="77777777" w:rsidR="004B3D6B" w:rsidRDefault="00B41445">
      <w:r>
        <w:t xml:space="preserve">During the current crisis many workers have experienced the </w:t>
      </w:r>
      <w:r w:rsidR="00B61089">
        <w:t xml:space="preserve">hardships of both losing their job and then discovering that </w:t>
      </w:r>
      <w:r w:rsidR="00CA7BD3">
        <w:t xml:space="preserve">unpaid wages and other entitlements have been lost due to </w:t>
      </w:r>
      <w:r w:rsidR="008C0237">
        <w:t xml:space="preserve">insolvency of their employer. Australian </w:t>
      </w:r>
      <w:r w:rsidR="00F97392">
        <w:t>citizens, permanent (and some other) visa holders are entitled to claim for compensation</w:t>
      </w:r>
      <w:r w:rsidR="00022F96">
        <w:t xml:space="preserve"> under the FEG, albeit with limits on the amount claimed. </w:t>
      </w:r>
      <w:r w:rsidR="00756B2F">
        <w:t xml:space="preserve">But temporary visa holders, such as </w:t>
      </w:r>
      <w:r w:rsidR="000C19AD">
        <w:t xml:space="preserve">international </w:t>
      </w:r>
      <w:r w:rsidR="00756B2F">
        <w:t>students working in restaurants or shops to</w:t>
      </w:r>
      <w:r w:rsidR="000C19AD">
        <w:t xml:space="preserve"> earn enough for rent and living expenses, are not eligible to claim.</w:t>
      </w:r>
    </w:p>
    <w:p w14:paraId="1EAF5212" w14:textId="77777777" w:rsidR="00782A40" w:rsidRDefault="00782A40"/>
    <w:p w14:paraId="46EC394E" w14:textId="42CA43CD" w:rsidR="00617CB2" w:rsidRDefault="00782A40">
      <w:r>
        <w:t>Is it right to exclude them from the Australian taxpayer support</w:t>
      </w:r>
      <w:r w:rsidR="00315E87">
        <w:t xml:space="preserve"> provided by the FEG. One possible answer could be yes – if it is thought that the </w:t>
      </w:r>
      <w:r w:rsidR="006A3EB6">
        <w:t xml:space="preserve">objective of the scheme is </w:t>
      </w:r>
      <w:r w:rsidR="00F2093D">
        <w:t xml:space="preserve">solely </w:t>
      </w:r>
      <w:r w:rsidR="00DE42C6">
        <w:t xml:space="preserve">to provide </w:t>
      </w:r>
      <w:r w:rsidR="006A3EB6">
        <w:t xml:space="preserve">compensation </w:t>
      </w:r>
      <w:r w:rsidR="00DE42C6">
        <w:t>solely for Australians suffering loss</w:t>
      </w:r>
      <w:r w:rsidR="00211B3D">
        <w:t xml:space="preserve">. But an alternative answer </w:t>
      </w:r>
      <w:r w:rsidR="00BE63CD">
        <w:t>(no</w:t>
      </w:r>
      <w:r w:rsidR="00220557">
        <w:t>!</w:t>
      </w:r>
      <w:r w:rsidR="00BE63CD">
        <w:t xml:space="preserve">) </w:t>
      </w:r>
      <w:r w:rsidR="00211B3D">
        <w:t xml:space="preserve">is that the </w:t>
      </w:r>
      <w:r w:rsidR="00220557">
        <w:t>objective</w:t>
      </w:r>
      <w:r w:rsidR="00211B3D">
        <w:t xml:space="preserve"> is to provide compensation </w:t>
      </w:r>
      <w:r w:rsidR="00BE63CD">
        <w:t xml:space="preserve">for failings by </w:t>
      </w:r>
      <w:r w:rsidR="00366F40">
        <w:t xml:space="preserve">bosses of </w:t>
      </w:r>
      <w:r w:rsidR="00BE63CD">
        <w:t>Australian businesses to adequately provide for the</w:t>
      </w:r>
      <w:r w:rsidR="00220557">
        <w:t xml:space="preserve"> amounts owed to </w:t>
      </w:r>
      <w:r w:rsidR="00F2093D">
        <w:t>any</w:t>
      </w:r>
      <w:r w:rsidR="00220557">
        <w:t xml:space="preserve"> employees.</w:t>
      </w:r>
    </w:p>
    <w:p w14:paraId="6F5F4B16" w14:textId="77777777" w:rsidR="00617CB2" w:rsidRDefault="00617CB2"/>
    <w:p w14:paraId="582505DC" w14:textId="77777777" w:rsidR="00F2093D" w:rsidRDefault="00617CB2">
      <w:r>
        <w:t xml:space="preserve">There is, in my mind, a </w:t>
      </w:r>
      <w:r w:rsidR="00F2093D">
        <w:t xml:space="preserve">very </w:t>
      </w:r>
      <w:r>
        <w:t>strong case for the</w:t>
      </w:r>
      <w:r w:rsidR="00220557">
        <w:t xml:space="preserve"> </w:t>
      </w:r>
      <w:r w:rsidR="0089576E">
        <w:t xml:space="preserve">latter answer, and thus inclusion in the FEG of </w:t>
      </w:r>
      <w:r w:rsidR="00AB6512">
        <w:t xml:space="preserve">temporary visa holders. The FEG is an alternative to other methods of </w:t>
      </w:r>
      <w:r w:rsidR="009A5BAB">
        <w:t>ensuring that employers adequately provide for amounts owed to employees. These could include a</w:t>
      </w:r>
      <w:r w:rsidR="00DD0FB1">
        <w:t xml:space="preserve">n explicit, premium based, insurance scheme, or requirements for </w:t>
      </w:r>
      <w:r w:rsidR="00F1607F">
        <w:t xml:space="preserve">employers to maintain amounts in a trust account adequate to meet unpaid entitlements. </w:t>
      </w:r>
    </w:p>
    <w:p w14:paraId="0FCFDF66" w14:textId="77777777" w:rsidR="00F2093D" w:rsidRDefault="00F2093D"/>
    <w:p w14:paraId="35D07E75" w14:textId="1F5EB845" w:rsidR="00782A40" w:rsidRDefault="00F2093D">
      <w:r>
        <w:t>In the absence of such direct disciplining measures on employers which would protect all workers, the FEG is a substitute to provide such protection, albeit not fulfilling the important job of ensuring bosses make adequate provisions.</w:t>
      </w:r>
    </w:p>
    <w:p w14:paraId="1A9024E6" w14:textId="77777777" w:rsidR="00780823" w:rsidRDefault="00780823"/>
    <w:p w14:paraId="26E44F97" w14:textId="6598790A" w:rsidR="00780823" w:rsidRDefault="00780823">
      <w:r>
        <w:t xml:space="preserve">Any of these approaches work to improve the </w:t>
      </w:r>
      <w:r w:rsidR="000717B6">
        <w:t xml:space="preserve">efficient operation of the labour market by removing the need for potential </w:t>
      </w:r>
      <w:r w:rsidR="002250C5">
        <w:t xml:space="preserve">and current </w:t>
      </w:r>
      <w:r w:rsidR="000717B6">
        <w:t>employees to assess</w:t>
      </w:r>
      <w:r w:rsidR="00F2093D">
        <w:t xml:space="preserve"> (and worry)</w:t>
      </w:r>
      <w:r w:rsidR="000717B6">
        <w:t xml:space="preserve"> whether </w:t>
      </w:r>
      <w:r w:rsidR="00F15A19">
        <w:t xml:space="preserve">an employer will be able to meet unpaid entitlements. </w:t>
      </w:r>
      <w:r w:rsidR="002250C5">
        <w:t>Not only is that a virtual impossibility for them, but the</w:t>
      </w:r>
      <w:r w:rsidR="00AC1DD2">
        <w:t xml:space="preserve">ir ability to take actions to reduce exposure to potential losses is </w:t>
      </w:r>
      <w:r w:rsidR="00351A9E">
        <w:t xml:space="preserve">highly limited (short of quitting and </w:t>
      </w:r>
      <w:r w:rsidR="00246E71">
        <w:t>demanding immediate payment).</w:t>
      </w:r>
    </w:p>
    <w:p w14:paraId="1FCE2B00" w14:textId="77777777" w:rsidR="00762A88" w:rsidRDefault="00762A88"/>
    <w:p w14:paraId="43545BFE" w14:textId="77777777" w:rsidR="00762A88" w:rsidRDefault="00762A88">
      <w:r>
        <w:t>It is worth comparing the FEG</w:t>
      </w:r>
      <w:r w:rsidR="006C6F4D">
        <w:t xml:space="preserve"> with the Financial Claims Scheme </w:t>
      </w:r>
      <w:r w:rsidR="00A73D09">
        <w:t xml:space="preserve">(FCS) </w:t>
      </w:r>
      <w:r w:rsidR="006C6F4D">
        <w:t>which protects bank depositors and insurance policy-holders (</w:t>
      </w:r>
      <w:r w:rsidR="008C5FCA">
        <w:t xml:space="preserve">up to maximum amounts covered). Yes, </w:t>
      </w:r>
      <w:r w:rsidR="008D5065">
        <w:t xml:space="preserve">an important feature is that </w:t>
      </w:r>
      <w:r w:rsidR="00C27968">
        <w:t>it provides ex-post compensation for losses from a failed institution. But</w:t>
      </w:r>
      <w:r w:rsidR="008D5065">
        <w:t xml:space="preserve"> a critical feature is that it </w:t>
      </w:r>
      <w:r w:rsidR="003D2D5E">
        <w:t xml:space="preserve">enhances the stability and efficiency of the financial sector by removing </w:t>
      </w:r>
      <w:r w:rsidR="0055049B">
        <w:t>concerns of those covered about risk of failure of their financial institution. Th</w:t>
      </w:r>
      <w:r w:rsidR="00B15DA2">
        <w:t xml:space="preserve">e resulting peace of mind also reduces the risk of </w:t>
      </w:r>
      <w:r w:rsidR="00A73D09">
        <w:t>“runs”.</w:t>
      </w:r>
    </w:p>
    <w:p w14:paraId="1659F392" w14:textId="77777777" w:rsidR="00A73D09" w:rsidRDefault="00A73D09"/>
    <w:p w14:paraId="13E1E8C8" w14:textId="77777777" w:rsidR="00A73D09" w:rsidRDefault="00A73D09">
      <w:r>
        <w:t xml:space="preserve">The FCS does not exclude non-residents </w:t>
      </w:r>
      <w:r w:rsidR="00E37D41">
        <w:t xml:space="preserve">with AUD accounts </w:t>
      </w:r>
      <w:r w:rsidR="00FA7949">
        <w:t>held in Australia</w:t>
      </w:r>
      <w:r w:rsidR="00E37D41">
        <w:t xml:space="preserve"> </w:t>
      </w:r>
      <w:r>
        <w:t>from its coverage</w:t>
      </w:r>
      <w:r w:rsidR="00FA7949">
        <w:t>.</w:t>
      </w:r>
      <w:r w:rsidR="00AA30B9">
        <w:t xml:space="preserve"> Just as Australian </w:t>
      </w:r>
      <w:r w:rsidR="00080299">
        <w:t>retail customers</w:t>
      </w:r>
      <w:r w:rsidR="00AA30B9">
        <w:t xml:space="preserve"> are </w:t>
      </w:r>
      <w:r w:rsidR="00537307">
        <w:t>generally unable to assess the financial health and risk of a bank or insurance company</w:t>
      </w:r>
      <w:r w:rsidR="00080299">
        <w:t>, so to</w:t>
      </w:r>
      <w:r w:rsidR="0048111E">
        <w:t xml:space="preserve">o </w:t>
      </w:r>
      <w:r w:rsidR="00080299">
        <w:t xml:space="preserve">are </w:t>
      </w:r>
      <w:r w:rsidR="0048111E">
        <w:t xml:space="preserve">non-resident retail customers. </w:t>
      </w:r>
      <w:r w:rsidR="006E5286">
        <w:t>Probably more so!</w:t>
      </w:r>
    </w:p>
    <w:p w14:paraId="5CABF1BC" w14:textId="77777777" w:rsidR="005D170E" w:rsidRDefault="005D170E"/>
    <w:p w14:paraId="4B659229" w14:textId="77777777" w:rsidR="005D170E" w:rsidRDefault="005D170E">
      <w:r>
        <w:t xml:space="preserve">And, an important feature of the FCS is </w:t>
      </w:r>
      <w:r w:rsidR="00475058">
        <w:t>“rapid access” to amounts owed by a failed institution</w:t>
      </w:r>
      <w:r w:rsidR="00626C54">
        <w:t xml:space="preserve">. This </w:t>
      </w:r>
      <w:r w:rsidR="002552EE">
        <w:t>reduces the disruption to</w:t>
      </w:r>
      <w:r w:rsidR="00626C54">
        <w:t xml:space="preserve"> customers </w:t>
      </w:r>
      <w:r w:rsidR="002552EE">
        <w:t>relying on access to those funds for</w:t>
      </w:r>
      <w:r w:rsidR="00B73223">
        <w:t xml:space="preserve"> daily living and other expenses.</w:t>
      </w:r>
    </w:p>
    <w:p w14:paraId="12A51912" w14:textId="77777777" w:rsidR="006E5286" w:rsidRDefault="006E5286"/>
    <w:p w14:paraId="62BF89C6" w14:textId="77777777" w:rsidR="006E5286" w:rsidRDefault="00B73223">
      <w:r>
        <w:t>T</w:t>
      </w:r>
      <w:r w:rsidR="006E5286">
        <w:t>he same arguments are relevant regarding coverage by the FEG</w:t>
      </w:r>
      <w:r w:rsidR="00CD4575">
        <w:t xml:space="preserve">. Covered workers </w:t>
      </w:r>
      <w:r w:rsidR="00D412BB">
        <w:t>need not worry about possible loss of unpaid entitlements</w:t>
      </w:r>
      <w:r w:rsidR="003C0262">
        <w:t xml:space="preserve"> if their current (or prospective) employer fails. (Although it must be said that lags in </w:t>
      </w:r>
      <w:r w:rsidR="00F8525E">
        <w:t xml:space="preserve">payment of </w:t>
      </w:r>
      <w:r w:rsidR="00440FC5">
        <w:t xml:space="preserve">compensation still leave them </w:t>
      </w:r>
      <w:r w:rsidR="00CF0503">
        <w:t xml:space="preserve">at risk of </w:t>
      </w:r>
      <w:r w:rsidR="00CB36D7">
        <w:t>even greater</w:t>
      </w:r>
      <w:r w:rsidR="00CF0503">
        <w:t xml:space="preserve"> financial hardship </w:t>
      </w:r>
      <w:r w:rsidR="00CB36D7">
        <w:t xml:space="preserve">when employer insolvency leads </w:t>
      </w:r>
      <w:r w:rsidR="00B67B0B">
        <w:t>to job loss).</w:t>
      </w:r>
    </w:p>
    <w:p w14:paraId="691560A5" w14:textId="77777777" w:rsidR="00C34BDF" w:rsidRDefault="00C34BDF"/>
    <w:p w14:paraId="74299379" w14:textId="77777777" w:rsidR="00C34BDF" w:rsidRDefault="00C34BDF">
      <w:r>
        <w:t>Realistically</w:t>
      </w:r>
      <w:r w:rsidR="00FB448A">
        <w:t>,</w:t>
      </w:r>
      <w:r>
        <w:t xml:space="preserve"> employees </w:t>
      </w:r>
      <w:r w:rsidR="00FB448A">
        <w:t xml:space="preserve">on </w:t>
      </w:r>
      <w:r>
        <w:t xml:space="preserve">temporary </w:t>
      </w:r>
      <w:r w:rsidR="00FB448A">
        <w:t xml:space="preserve">visas are even less likely than Australian employees to have </w:t>
      </w:r>
      <w:r w:rsidR="00D939AF">
        <w:t xml:space="preserve">the ability to assess risk of loss from employer insolvency, and as casual, part-time, employees </w:t>
      </w:r>
      <w:r w:rsidR="00BD5A2F">
        <w:t xml:space="preserve">less </w:t>
      </w:r>
      <w:r w:rsidR="00305447">
        <w:t xml:space="preserve">(if any) </w:t>
      </w:r>
      <w:r w:rsidR="00BD5A2F">
        <w:t>bargaining power</w:t>
      </w:r>
      <w:r w:rsidR="00305447">
        <w:t>.</w:t>
      </w:r>
      <w:r w:rsidR="00052B22">
        <w:t xml:space="preserve"> The financial hardship</w:t>
      </w:r>
      <w:r w:rsidR="00B535E5">
        <w:t xml:space="preserve"> </w:t>
      </w:r>
      <w:r w:rsidR="00C436D3">
        <w:t>resulting from loss of entitlements (on top of unemploymen</w:t>
      </w:r>
      <w:r w:rsidR="00DE4196">
        <w:t xml:space="preserve">t) </w:t>
      </w:r>
      <w:r w:rsidR="00B535E5">
        <w:t>of such relatively low-paid workers</w:t>
      </w:r>
      <w:r w:rsidR="00A51346">
        <w:t xml:space="preserve"> with limited access to other forms of </w:t>
      </w:r>
      <w:r w:rsidR="00DE4196">
        <w:t>financial support is undoubtedly severe.</w:t>
      </w:r>
    </w:p>
    <w:p w14:paraId="7A0B7A9F" w14:textId="77777777" w:rsidR="00305447" w:rsidRDefault="00305447"/>
    <w:p w14:paraId="26541A2D" w14:textId="77777777" w:rsidR="00F2093D" w:rsidRDefault="00F2093D">
      <w:r>
        <w:t>Add to that the Fairwork</w:t>
      </w:r>
      <w:r>
        <w:t xml:space="preserve"> principle of non-discrimination that “a</w:t>
      </w:r>
      <w:r w:rsidRPr="00693EA9">
        <w:t>ll people working in Australia, including foreign workers, are entitled to basic rights and protections in the workplace</w:t>
      </w:r>
      <w:r>
        <w:t>”</w:t>
      </w:r>
      <w:r>
        <w:t>, and the conclusion is obvious</w:t>
      </w:r>
      <w:r w:rsidRPr="00693EA9">
        <w:t>.</w:t>
      </w:r>
    </w:p>
    <w:p w14:paraId="6BBE017C" w14:textId="77777777" w:rsidR="00F2093D" w:rsidRDefault="00F2093D"/>
    <w:p w14:paraId="256C14BC" w14:textId="037CF48A" w:rsidR="00B67B0B" w:rsidRDefault="00052B22">
      <w:r>
        <w:t>The FEG should apply to such worker</w:t>
      </w:r>
      <w:r w:rsidR="00045F46">
        <w:t xml:space="preserve">s on temporary visas. </w:t>
      </w:r>
    </w:p>
    <w:p w14:paraId="3E642439" w14:textId="77777777" w:rsidR="00A23F29" w:rsidRDefault="00A23F29"/>
    <w:p w14:paraId="22CE73D4" w14:textId="77777777" w:rsidR="00A23F29" w:rsidRDefault="00A23F29">
      <w:pPr>
        <w:rPr>
          <w:b/>
          <w:bCs/>
        </w:rPr>
      </w:pPr>
      <w:r>
        <w:rPr>
          <w:b/>
          <w:bCs/>
        </w:rPr>
        <w:t>Kevin Davis</w:t>
      </w:r>
    </w:p>
    <w:p w14:paraId="653E4CAD" w14:textId="77777777" w:rsidR="00A23F29" w:rsidRDefault="00A23F29">
      <w:pPr>
        <w:rPr>
          <w:b/>
          <w:bCs/>
        </w:rPr>
      </w:pPr>
      <w:r>
        <w:rPr>
          <w:b/>
          <w:bCs/>
        </w:rPr>
        <w:t>Professor of Finance</w:t>
      </w:r>
    </w:p>
    <w:p w14:paraId="22107FB0" w14:textId="77777777" w:rsidR="00A23F29" w:rsidRDefault="00A23F29">
      <w:pPr>
        <w:rPr>
          <w:b/>
          <w:bCs/>
        </w:rPr>
      </w:pPr>
      <w:r>
        <w:rPr>
          <w:b/>
          <w:bCs/>
        </w:rPr>
        <w:t>The University of Melbourne</w:t>
      </w:r>
    </w:p>
    <w:p w14:paraId="6DFF398F" w14:textId="77777777" w:rsidR="00A23F29" w:rsidRDefault="00A23F29">
      <w:pPr>
        <w:rPr>
          <w:b/>
          <w:bCs/>
        </w:rPr>
      </w:pPr>
      <w:bookmarkStart w:id="0" w:name="_GoBack"/>
      <w:bookmarkEnd w:id="0"/>
    </w:p>
    <w:p w14:paraId="73500CBF" w14:textId="77777777" w:rsidR="00A23F29" w:rsidRPr="00A23F29" w:rsidRDefault="00A23F29">
      <w:pPr>
        <w:rPr>
          <w:b/>
          <w:bCs/>
        </w:rPr>
      </w:pPr>
      <w:r>
        <w:rPr>
          <w:b/>
          <w:bCs/>
        </w:rPr>
        <w:t>30 June 2020</w:t>
      </w:r>
    </w:p>
    <w:p w14:paraId="6105E782" w14:textId="77777777" w:rsidR="00A73D09" w:rsidRDefault="00A73D09"/>
    <w:sectPr w:rsidR="00A73D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698"/>
    <w:rsid w:val="00022F96"/>
    <w:rsid w:val="00037ACF"/>
    <w:rsid w:val="00045F46"/>
    <w:rsid w:val="00052B22"/>
    <w:rsid w:val="000717B6"/>
    <w:rsid w:val="00080299"/>
    <w:rsid w:val="00084B0F"/>
    <w:rsid w:val="000C19AD"/>
    <w:rsid w:val="001023C5"/>
    <w:rsid w:val="00127D2E"/>
    <w:rsid w:val="001656AC"/>
    <w:rsid w:val="001A6631"/>
    <w:rsid w:val="001D2C26"/>
    <w:rsid w:val="00211B3D"/>
    <w:rsid w:val="00220557"/>
    <w:rsid w:val="002250C5"/>
    <w:rsid w:val="00246E71"/>
    <w:rsid w:val="002552EE"/>
    <w:rsid w:val="002B32B7"/>
    <w:rsid w:val="00305447"/>
    <w:rsid w:val="00315E87"/>
    <w:rsid w:val="003201A0"/>
    <w:rsid w:val="00351A9E"/>
    <w:rsid w:val="00366F40"/>
    <w:rsid w:val="003C0262"/>
    <w:rsid w:val="003D2D5E"/>
    <w:rsid w:val="00440FC5"/>
    <w:rsid w:val="00475058"/>
    <w:rsid w:val="0048111E"/>
    <w:rsid w:val="004B3D6B"/>
    <w:rsid w:val="0050507E"/>
    <w:rsid w:val="00537307"/>
    <w:rsid w:val="0055049B"/>
    <w:rsid w:val="00562698"/>
    <w:rsid w:val="0056449A"/>
    <w:rsid w:val="005D170E"/>
    <w:rsid w:val="005F7F1C"/>
    <w:rsid w:val="00617CB2"/>
    <w:rsid w:val="00626C54"/>
    <w:rsid w:val="0063318D"/>
    <w:rsid w:val="00693EA9"/>
    <w:rsid w:val="006A3EB6"/>
    <w:rsid w:val="006A4D00"/>
    <w:rsid w:val="006C6F4D"/>
    <w:rsid w:val="006E5286"/>
    <w:rsid w:val="00756B2F"/>
    <w:rsid w:val="00762A88"/>
    <w:rsid w:val="00780823"/>
    <w:rsid w:val="00782A40"/>
    <w:rsid w:val="007A078C"/>
    <w:rsid w:val="007D714D"/>
    <w:rsid w:val="0089576E"/>
    <w:rsid w:val="008C0237"/>
    <w:rsid w:val="008C5FCA"/>
    <w:rsid w:val="008D5065"/>
    <w:rsid w:val="009A5BAB"/>
    <w:rsid w:val="00A23F29"/>
    <w:rsid w:val="00A51346"/>
    <w:rsid w:val="00A73D09"/>
    <w:rsid w:val="00AA1759"/>
    <w:rsid w:val="00AA30B9"/>
    <w:rsid w:val="00AB6512"/>
    <w:rsid w:val="00AC1DD2"/>
    <w:rsid w:val="00B15DA2"/>
    <w:rsid w:val="00B406C4"/>
    <w:rsid w:val="00B41445"/>
    <w:rsid w:val="00B535E5"/>
    <w:rsid w:val="00B61089"/>
    <w:rsid w:val="00B67B0B"/>
    <w:rsid w:val="00B73223"/>
    <w:rsid w:val="00B973E8"/>
    <w:rsid w:val="00BD5A2F"/>
    <w:rsid w:val="00BE63CD"/>
    <w:rsid w:val="00C27968"/>
    <w:rsid w:val="00C34BDF"/>
    <w:rsid w:val="00C436D3"/>
    <w:rsid w:val="00CA7BD3"/>
    <w:rsid w:val="00CB36D7"/>
    <w:rsid w:val="00CD4575"/>
    <w:rsid w:val="00CE43B3"/>
    <w:rsid w:val="00CF0503"/>
    <w:rsid w:val="00D10AB0"/>
    <w:rsid w:val="00D412BB"/>
    <w:rsid w:val="00D939AF"/>
    <w:rsid w:val="00DD0FB1"/>
    <w:rsid w:val="00DE4196"/>
    <w:rsid w:val="00DE42C6"/>
    <w:rsid w:val="00E37D41"/>
    <w:rsid w:val="00E84A3C"/>
    <w:rsid w:val="00F15A19"/>
    <w:rsid w:val="00F1607F"/>
    <w:rsid w:val="00F2093D"/>
    <w:rsid w:val="00F8525E"/>
    <w:rsid w:val="00F97392"/>
    <w:rsid w:val="00FA7949"/>
    <w:rsid w:val="00FB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09119"/>
  <w15:chartTrackingRefBased/>
  <w15:docId w15:val="{4F9BED1A-0901-B545-951E-C874EF95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6D6F765DB9B548B3C371E954D09C65" ma:contentTypeVersion="13" ma:contentTypeDescription="Create a new document." ma:contentTypeScope="" ma:versionID="57b5d6e92d5a80eea5957f81cb113cd5">
  <xsd:schema xmlns:xsd="http://www.w3.org/2001/XMLSchema" xmlns:xs="http://www.w3.org/2001/XMLSchema" xmlns:p="http://schemas.microsoft.com/office/2006/metadata/properties" xmlns:ns3="39003724-fb79-4356-8fe1-52c2964e7a4a" xmlns:ns4="a9a63348-0ff0-46cc-8120-0daf871adbcb" targetNamespace="http://schemas.microsoft.com/office/2006/metadata/properties" ma:root="true" ma:fieldsID="1eb9c37438a4eae6f9337bbe16c7183f" ns3:_="" ns4:_="">
    <xsd:import namespace="39003724-fb79-4356-8fe1-52c2964e7a4a"/>
    <xsd:import namespace="a9a63348-0ff0-46cc-8120-0daf871adb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03724-fb79-4356-8fe1-52c2964e7a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63348-0ff0-46cc-8120-0daf871ad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66CEAD-70B6-469B-96D5-98014E63C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03724-fb79-4356-8fe1-52c2964e7a4a"/>
    <ds:schemaRef ds:uri="a9a63348-0ff0-46cc-8120-0daf871ad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33A4CC-C769-475C-AD1D-8B74802AC8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F7326-559C-4493-A466-EA255EEEF58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9003724-fb79-4356-8fe1-52c2964e7a4a"/>
    <ds:schemaRef ds:uri="a9a63348-0ff0-46cc-8120-0daf871adbc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Davis</dc:creator>
  <cp:keywords/>
  <dc:description/>
  <cp:lastModifiedBy>Kevin Davis</cp:lastModifiedBy>
  <cp:revision>3</cp:revision>
  <dcterms:created xsi:type="dcterms:W3CDTF">2020-07-05T23:39:00Z</dcterms:created>
  <dcterms:modified xsi:type="dcterms:W3CDTF">2020-07-05T23:47:00Z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0x0101009E6D6F765DB9B548B3C371E954D09C65</vt:lpwstr>
  </property>
</Properties>
</file>